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rödtext"/>
        <w:bidi w:val="0"/>
      </w:pPr>
      <w:r>
        <w:drawing xmlns:a="http://schemas.openxmlformats.org/drawingml/2006/main"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page">
              <wp:posOffset>0</wp:posOffset>
            </wp:positionV>
            <wp:extent cx="4327481" cy="6120057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TKV Avtal - utställare rev version dec 24.pd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TKV Avtal - utställare rev version dec 24.pdf" descr="TKV Avtal - utställare rev version dec 24.pdf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7481" cy="612005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>
      <w:headerReference w:type="default" r:id="rId5"/>
      <w:footerReference w:type="default" r:id="rId6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svenska" w:val="‘“(〔[{〈《「『【⦅〘〖«〝︵︷︹︻︽︿﹁﹃﹇﹙﹛﹝｢"/>
  <w:noLineBreaksBefore w:lang="svensk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rödtext">
    <w:name w:val="Brödtext"/>
    <w:next w:val="Bröd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